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8FDD6" w14:textId="77777777" w:rsidR="0044128C" w:rsidRPr="00461A1B" w:rsidRDefault="0044128C" w:rsidP="0044128C">
      <w:pPr>
        <w:rPr>
          <w:sz w:val="24"/>
          <w:szCs w:val="24"/>
          <w:u w:val="single"/>
          <w:lang w:val="en-GB"/>
        </w:rPr>
      </w:pPr>
      <w:r w:rsidRPr="00563181">
        <w:rPr>
          <w:noProof/>
        </w:rPr>
        <w:drawing>
          <wp:anchor distT="0" distB="0" distL="114300" distR="114300" simplePos="0" relativeHeight="251659264" behindDoc="0" locked="0" layoutInCell="1" allowOverlap="1" wp14:anchorId="4E0571EE" wp14:editId="41F0A143">
            <wp:simplePos x="0" y="0"/>
            <wp:positionH relativeFrom="column">
              <wp:posOffset>4781550</wp:posOffset>
            </wp:positionH>
            <wp:positionV relativeFrom="paragraph">
              <wp:posOffset>-771525</wp:posOffset>
            </wp:positionV>
            <wp:extent cx="1895475" cy="908865"/>
            <wp:effectExtent l="0" t="0" r="0" b="0"/>
            <wp:wrapNone/>
            <wp:docPr id="1" name="Picture 1" descr="\\BH-DC01\Management\Allison\Bay Hav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BH-DC01\Management\Allison\Bay Have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0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2520"/>
        <w:gridCol w:w="4987"/>
      </w:tblGrid>
      <w:tr w:rsidR="0044128C" w:rsidRPr="00916EDF" w14:paraId="7AB1DCAF" w14:textId="77777777" w:rsidTr="00927A14">
        <w:trPr>
          <w:trHeight w:val="210"/>
        </w:trPr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2ED9E8" w14:textId="057AFA67" w:rsidR="0044128C" w:rsidRPr="00C7226F" w:rsidRDefault="0044128C" w:rsidP="0044128C">
            <w:pPr>
              <w:spacing w:beforeAutospacing="1" w:afterAutospacing="1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External Disaster – Community External Disaster Plan</w:t>
            </w:r>
            <w:r w:rsidR="001431FA">
              <w:rPr>
                <w:b/>
                <w:sz w:val="24"/>
                <w:szCs w:val="24"/>
              </w:rPr>
              <w:t xml:space="preserve"> Code Orange</w:t>
            </w:r>
          </w:p>
        </w:tc>
        <w:tc>
          <w:tcPr>
            <w:tcW w:w="498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6A40C5" w14:textId="77777777" w:rsidR="0044128C" w:rsidRDefault="0044128C" w:rsidP="00927A14">
            <w:pPr>
              <w:rPr>
                <w:sz w:val="24"/>
                <w:szCs w:val="24"/>
              </w:rPr>
            </w:pPr>
            <w:r w:rsidRPr="00A56BF5">
              <w:rPr>
                <w:sz w:val="24"/>
                <w:szCs w:val="24"/>
              </w:rPr>
              <w:t xml:space="preserve">Policy Manual Section: </w:t>
            </w:r>
          </w:p>
          <w:p w14:paraId="4B4394D7" w14:textId="77777777" w:rsidR="0044128C" w:rsidRPr="00145C5D" w:rsidRDefault="0044128C" w:rsidP="00927A14">
            <w:pPr>
              <w:rPr>
                <w:sz w:val="24"/>
                <w:szCs w:val="24"/>
              </w:rPr>
            </w:pPr>
            <w:r w:rsidRPr="00A56BF5">
              <w:rPr>
                <w:b/>
                <w:sz w:val="24"/>
                <w:szCs w:val="24"/>
              </w:rPr>
              <w:t xml:space="preserve">Section </w:t>
            </w:r>
            <w:r w:rsidR="00F24FA0">
              <w:rPr>
                <w:b/>
                <w:sz w:val="24"/>
                <w:szCs w:val="24"/>
              </w:rPr>
              <w:t>4</w:t>
            </w:r>
            <w:r w:rsidRPr="00A56BF5">
              <w:rPr>
                <w:b/>
                <w:sz w:val="24"/>
                <w:szCs w:val="24"/>
              </w:rPr>
              <w:t>—</w:t>
            </w:r>
            <w:r>
              <w:rPr>
                <w:b/>
                <w:sz w:val="24"/>
                <w:szCs w:val="24"/>
              </w:rPr>
              <w:t>Emergency Management Planning</w:t>
            </w:r>
          </w:p>
        </w:tc>
      </w:tr>
      <w:tr w:rsidR="0044128C" w:rsidRPr="00916EDF" w14:paraId="14640E7B" w14:textId="77777777" w:rsidTr="00927A14">
        <w:trPr>
          <w:trHeight w:val="210"/>
        </w:trPr>
        <w:tc>
          <w:tcPr>
            <w:tcW w:w="265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6C2AF3" w14:textId="77777777" w:rsidR="0044128C" w:rsidRPr="000B7ED8" w:rsidRDefault="0044128C" w:rsidP="0044128C">
            <w:pPr>
              <w:spacing w:beforeAutospacing="1" w:afterAutospacing="1"/>
              <w:textAlignment w:val="baseline"/>
              <w:rPr>
                <w:b/>
                <w:sz w:val="24"/>
                <w:szCs w:val="24"/>
              </w:rPr>
            </w:pPr>
            <w:r w:rsidRPr="000B7ED8">
              <w:rPr>
                <w:rFonts w:ascii="Calibri" w:hAnsi="Calibri"/>
                <w:b/>
                <w:bCs/>
                <w:sz w:val="24"/>
                <w:szCs w:val="24"/>
              </w:rPr>
              <w:t>Created: </w:t>
            </w:r>
            <w:r w:rsidRPr="000B7ED8">
              <w:rPr>
                <w:rFonts w:ascii="Calibri" w:hAnsi="Calibri"/>
                <w:b/>
                <w:sz w:val="24"/>
                <w:szCs w:val="24"/>
              </w:rPr>
              <w:t> </w:t>
            </w:r>
            <w:r>
              <w:rPr>
                <w:rFonts w:ascii="Calibri" w:hAnsi="Calibri"/>
                <w:b/>
                <w:sz w:val="24"/>
                <w:szCs w:val="24"/>
              </w:rPr>
              <w:t>10/13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B86C0B" w14:textId="7DA145EA" w:rsidR="0044128C" w:rsidRPr="000B7ED8" w:rsidRDefault="0044128C" w:rsidP="0044128C">
            <w:pPr>
              <w:spacing w:beforeAutospacing="1" w:afterAutospacing="1"/>
              <w:textAlignment w:val="baseline"/>
              <w:rPr>
                <w:b/>
                <w:sz w:val="24"/>
                <w:szCs w:val="24"/>
              </w:rPr>
            </w:pPr>
            <w:r w:rsidRPr="000B7ED8">
              <w:rPr>
                <w:rFonts w:ascii="Calibri" w:hAnsi="Calibri"/>
                <w:b/>
                <w:bCs/>
                <w:sz w:val="24"/>
                <w:szCs w:val="24"/>
              </w:rPr>
              <w:t>Last Updated: </w:t>
            </w:r>
            <w:r w:rsidRPr="000B7ED8">
              <w:rPr>
                <w:rFonts w:ascii="Calibri" w:hAnsi="Calibri"/>
                <w:b/>
                <w:sz w:val="24"/>
                <w:szCs w:val="24"/>
              </w:rPr>
              <w:t> </w:t>
            </w:r>
            <w:r w:rsidR="00BA093C">
              <w:rPr>
                <w:rFonts w:ascii="Calibri" w:hAnsi="Calibri"/>
                <w:b/>
                <w:sz w:val="24"/>
                <w:szCs w:val="24"/>
              </w:rPr>
              <w:t>12</w:t>
            </w:r>
            <w:r w:rsidR="001431FA">
              <w:rPr>
                <w:rFonts w:ascii="Calibri" w:hAnsi="Calibri"/>
                <w:b/>
                <w:sz w:val="24"/>
                <w:szCs w:val="24"/>
              </w:rPr>
              <w:t>/</w:t>
            </w:r>
            <w:r w:rsidR="00BA093C">
              <w:rPr>
                <w:rFonts w:ascii="Calibri" w:hAnsi="Calibri"/>
                <w:b/>
                <w:sz w:val="24"/>
                <w:szCs w:val="24"/>
              </w:rPr>
              <w:t>22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5AB94" w14:textId="7835109B" w:rsidR="0044128C" w:rsidRPr="000B7ED8" w:rsidRDefault="0044128C" w:rsidP="00084BC7">
            <w:pPr>
              <w:spacing w:beforeAutospacing="1" w:afterAutospacing="1"/>
              <w:textAlignment w:val="baseline"/>
              <w:rPr>
                <w:b/>
                <w:sz w:val="24"/>
                <w:szCs w:val="24"/>
              </w:rPr>
            </w:pPr>
            <w:r w:rsidRPr="000B7ED8">
              <w:rPr>
                <w:rFonts w:ascii="Calibri" w:hAnsi="Calibri"/>
                <w:b/>
                <w:bCs/>
                <w:sz w:val="24"/>
                <w:szCs w:val="24"/>
              </w:rPr>
              <w:t>Last Reviewed: </w:t>
            </w:r>
            <w:r w:rsidRPr="000B7ED8">
              <w:rPr>
                <w:rFonts w:ascii="Calibri" w:hAnsi="Calibri"/>
                <w:b/>
                <w:sz w:val="24"/>
                <w:szCs w:val="24"/>
              </w:rPr>
              <w:t> </w:t>
            </w:r>
            <w:r w:rsidR="00C16DA3">
              <w:rPr>
                <w:rFonts w:ascii="Calibri" w:hAnsi="Calibri"/>
                <w:b/>
                <w:sz w:val="24"/>
                <w:szCs w:val="24"/>
              </w:rPr>
              <w:t>8/23</w:t>
            </w:r>
          </w:p>
        </w:tc>
      </w:tr>
      <w:tr w:rsidR="0044128C" w:rsidRPr="00916EDF" w14:paraId="6D81ABA2" w14:textId="77777777" w:rsidTr="00927A14">
        <w:trPr>
          <w:trHeight w:val="210"/>
        </w:trPr>
        <w:tc>
          <w:tcPr>
            <w:tcW w:w="5175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C43A0" w14:textId="3AAB892D" w:rsidR="0044128C" w:rsidRPr="0044128C" w:rsidRDefault="00BA093C" w:rsidP="0044128C">
            <w:pPr>
              <w:rPr>
                <w:b/>
              </w:rPr>
            </w:pPr>
            <w:r>
              <w:rPr>
                <w:b/>
              </w:rPr>
              <w:t xml:space="preserve">Fixing Long Term Care Act 2021, </w:t>
            </w:r>
            <w:r w:rsidRPr="00DA5326">
              <w:rPr>
                <w:b/>
              </w:rPr>
              <w:t>(</w:t>
            </w:r>
            <w:r w:rsidR="0044128C" w:rsidRPr="00DA5326">
              <w:rPr>
                <w:b/>
              </w:rPr>
              <w:t>ii)</w:t>
            </w:r>
            <w:r w:rsidR="0044128C">
              <w:rPr>
                <w:b/>
              </w:rPr>
              <w:t xml:space="preserve"> </w:t>
            </w:r>
            <w:r w:rsidR="0044128C" w:rsidRPr="00DA5326">
              <w:rPr>
                <w:b/>
              </w:rPr>
              <w:t>RHA Emergency Plan r. 25 3 (ii)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0B31C8" w14:textId="77777777" w:rsidR="0044128C" w:rsidRPr="000B7ED8" w:rsidRDefault="0044128C" w:rsidP="00927A14">
            <w:pPr>
              <w:spacing w:beforeAutospacing="1" w:afterAutospacing="1"/>
              <w:textAlignment w:val="baseline"/>
              <w:rPr>
                <w:b/>
                <w:sz w:val="24"/>
                <w:szCs w:val="24"/>
              </w:rPr>
            </w:pPr>
            <w:r w:rsidRPr="000B7ED8">
              <w:rPr>
                <w:rFonts w:ascii="Calibri" w:hAnsi="Calibri"/>
                <w:b/>
                <w:bCs/>
                <w:sz w:val="24"/>
                <w:szCs w:val="24"/>
              </w:rPr>
              <w:t>Page:  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1 of 1</w:t>
            </w:r>
            <w:r w:rsidRPr="000B7ED8">
              <w:rPr>
                <w:rFonts w:ascii="Calibri" w:hAnsi="Calibri"/>
                <w:b/>
                <w:bCs/>
                <w:sz w:val="24"/>
                <w:szCs w:val="24"/>
              </w:rPr>
              <w:t> </w:t>
            </w:r>
            <w:r w:rsidRPr="000B7ED8">
              <w:rPr>
                <w:rFonts w:ascii="Calibri" w:hAnsi="Calibri"/>
                <w:b/>
                <w:sz w:val="24"/>
                <w:szCs w:val="24"/>
              </w:rPr>
              <w:t> </w:t>
            </w:r>
          </w:p>
        </w:tc>
      </w:tr>
    </w:tbl>
    <w:p w14:paraId="22A247DC" w14:textId="77777777" w:rsidR="0044128C" w:rsidRDefault="0044128C" w:rsidP="0044128C">
      <w:pPr>
        <w:rPr>
          <w:sz w:val="24"/>
          <w:szCs w:val="24"/>
          <w:u w:val="single"/>
        </w:rPr>
      </w:pPr>
    </w:p>
    <w:p w14:paraId="46AB8CE0" w14:textId="77777777" w:rsidR="0044128C" w:rsidRPr="003F3629" w:rsidRDefault="0044128C" w:rsidP="0044128C">
      <w:pPr>
        <w:rPr>
          <w:caps/>
          <w:sz w:val="23"/>
          <w:szCs w:val="23"/>
          <w:u w:val="single"/>
        </w:rPr>
      </w:pPr>
      <w:r w:rsidRPr="003F3629">
        <w:rPr>
          <w:caps/>
          <w:sz w:val="23"/>
          <w:szCs w:val="23"/>
          <w:u w:val="single"/>
        </w:rPr>
        <w:t>Purpose</w:t>
      </w:r>
    </w:p>
    <w:p w14:paraId="3E4851EE" w14:textId="4A4CF3B2" w:rsidR="0044128C" w:rsidRPr="003F3629" w:rsidRDefault="0044128C" w:rsidP="0044128C">
      <w:pPr>
        <w:rPr>
          <w:sz w:val="23"/>
          <w:szCs w:val="23"/>
        </w:rPr>
      </w:pPr>
      <w:r w:rsidRPr="003F3629">
        <w:rPr>
          <w:sz w:val="23"/>
          <w:szCs w:val="23"/>
        </w:rPr>
        <w:t>To provide a</w:t>
      </w:r>
      <w:r w:rsidR="001431FA">
        <w:rPr>
          <w:sz w:val="23"/>
          <w:szCs w:val="23"/>
        </w:rPr>
        <w:t>n action</w:t>
      </w:r>
      <w:r w:rsidRPr="003F3629">
        <w:rPr>
          <w:sz w:val="23"/>
          <w:szCs w:val="23"/>
        </w:rPr>
        <w:t xml:space="preserve"> plan in the event of an external disaster that occurs outside of the building</w:t>
      </w:r>
      <w:r w:rsidR="001431FA">
        <w:rPr>
          <w:sz w:val="23"/>
          <w:szCs w:val="23"/>
        </w:rPr>
        <w:t xml:space="preserve"> </w:t>
      </w:r>
      <w:r w:rsidR="00BA093C">
        <w:rPr>
          <w:sz w:val="23"/>
          <w:szCs w:val="23"/>
        </w:rPr>
        <w:t xml:space="preserve">that </w:t>
      </w:r>
      <w:r w:rsidR="00BA093C" w:rsidRPr="003F3629">
        <w:rPr>
          <w:sz w:val="23"/>
          <w:szCs w:val="23"/>
        </w:rPr>
        <w:t>causes</w:t>
      </w:r>
      <w:r w:rsidRPr="003F3629">
        <w:rPr>
          <w:sz w:val="23"/>
          <w:szCs w:val="23"/>
        </w:rPr>
        <w:t xml:space="preserve"> a disruption of services</w:t>
      </w:r>
      <w:r w:rsidR="00BA093C">
        <w:rPr>
          <w:sz w:val="23"/>
          <w:szCs w:val="23"/>
        </w:rPr>
        <w:t>,</w:t>
      </w:r>
      <w:r w:rsidRPr="003F3629">
        <w:rPr>
          <w:sz w:val="23"/>
          <w:szCs w:val="23"/>
        </w:rPr>
        <w:t xml:space="preserve"> or destruction in some form and threatens the safety of persons within the facility. A</w:t>
      </w:r>
      <w:r w:rsidR="00BA093C">
        <w:rPr>
          <w:sz w:val="23"/>
          <w:szCs w:val="23"/>
        </w:rPr>
        <w:t xml:space="preserve"> community </w:t>
      </w:r>
      <w:r w:rsidRPr="003F3629">
        <w:rPr>
          <w:sz w:val="23"/>
          <w:szCs w:val="23"/>
        </w:rPr>
        <w:t xml:space="preserve">external disaster may be minor to extremely serious. Our goal is to provide a safe and secure environment for </w:t>
      </w:r>
      <w:r w:rsidR="001431FA">
        <w:rPr>
          <w:sz w:val="23"/>
          <w:szCs w:val="23"/>
        </w:rPr>
        <w:t xml:space="preserve">Bay Haven </w:t>
      </w:r>
      <w:r w:rsidRPr="003F3629">
        <w:rPr>
          <w:sz w:val="23"/>
          <w:szCs w:val="23"/>
        </w:rPr>
        <w:t>residents,</w:t>
      </w:r>
      <w:r w:rsidR="001431FA">
        <w:rPr>
          <w:sz w:val="23"/>
          <w:szCs w:val="23"/>
        </w:rPr>
        <w:t xml:space="preserve"> </w:t>
      </w:r>
      <w:r w:rsidR="00BA093C" w:rsidRPr="003F3629">
        <w:rPr>
          <w:sz w:val="23"/>
          <w:szCs w:val="23"/>
        </w:rPr>
        <w:t>staff,</w:t>
      </w:r>
      <w:r w:rsidRPr="003F3629">
        <w:rPr>
          <w:sz w:val="23"/>
          <w:szCs w:val="23"/>
        </w:rPr>
        <w:t xml:space="preserve"> and visitors. </w:t>
      </w:r>
    </w:p>
    <w:p w14:paraId="777BE828" w14:textId="77777777" w:rsidR="0044128C" w:rsidRPr="003F3629" w:rsidRDefault="0044128C" w:rsidP="0044128C">
      <w:pPr>
        <w:rPr>
          <w:sz w:val="23"/>
          <w:szCs w:val="23"/>
        </w:rPr>
      </w:pPr>
    </w:p>
    <w:p w14:paraId="6786386C" w14:textId="77777777" w:rsidR="0044128C" w:rsidRPr="003F3629" w:rsidRDefault="0044128C" w:rsidP="0044128C">
      <w:pPr>
        <w:rPr>
          <w:caps/>
          <w:sz w:val="23"/>
          <w:szCs w:val="23"/>
          <w:u w:val="single"/>
        </w:rPr>
      </w:pPr>
      <w:r w:rsidRPr="003F3629">
        <w:rPr>
          <w:caps/>
          <w:sz w:val="23"/>
          <w:szCs w:val="23"/>
          <w:u w:val="single"/>
        </w:rPr>
        <w:t>Procedure</w:t>
      </w:r>
    </w:p>
    <w:p w14:paraId="232F64AC" w14:textId="69CC8257" w:rsidR="0044128C" w:rsidRPr="003F3629" w:rsidRDefault="0044128C" w:rsidP="0044128C">
      <w:pPr>
        <w:rPr>
          <w:sz w:val="23"/>
          <w:szCs w:val="23"/>
        </w:rPr>
      </w:pPr>
      <w:r w:rsidRPr="003F3629">
        <w:rPr>
          <w:sz w:val="23"/>
          <w:szCs w:val="23"/>
        </w:rPr>
        <w:t xml:space="preserve">In the event of an external disaster the Administrator and the Director of Support Services shall be notified.  The Ministry of Health Long Term Care </w:t>
      </w:r>
      <w:r w:rsidR="001431FA">
        <w:rPr>
          <w:sz w:val="23"/>
          <w:szCs w:val="23"/>
        </w:rPr>
        <w:t xml:space="preserve">and RHRA </w:t>
      </w:r>
      <w:r w:rsidRPr="003F3629">
        <w:rPr>
          <w:sz w:val="23"/>
          <w:szCs w:val="23"/>
        </w:rPr>
        <w:t xml:space="preserve">must be notified within one business day of </w:t>
      </w:r>
      <w:r w:rsidR="001431FA">
        <w:rPr>
          <w:sz w:val="23"/>
          <w:szCs w:val="23"/>
        </w:rPr>
        <w:t>a disaster</w:t>
      </w:r>
      <w:r w:rsidRPr="003F3629">
        <w:rPr>
          <w:sz w:val="23"/>
          <w:szCs w:val="23"/>
        </w:rPr>
        <w:t xml:space="preserve">.  </w:t>
      </w:r>
      <w:r w:rsidR="001431FA">
        <w:rPr>
          <w:sz w:val="23"/>
          <w:szCs w:val="23"/>
        </w:rPr>
        <w:t>A</w:t>
      </w:r>
      <w:r w:rsidRPr="003F3629">
        <w:rPr>
          <w:sz w:val="23"/>
          <w:szCs w:val="23"/>
        </w:rPr>
        <w:t>ddition</w:t>
      </w:r>
      <w:r w:rsidR="001431FA">
        <w:rPr>
          <w:sz w:val="23"/>
          <w:szCs w:val="23"/>
        </w:rPr>
        <w:t>ally</w:t>
      </w:r>
      <w:r w:rsidRPr="003F3629">
        <w:rPr>
          <w:sz w:val="23"/>
          <w:szCs w:val="23"/>
        </w:rPr>
        <w:t xml:space="preserve">, this reporting requirement applies to incidents that affect the provision of care or the safety, </w:t>
      </w:r>
      <w:r w:rsidR="00BA093C" w:rsidRPr="003F3629">
        <w:rPr>
          <w:sz w:val="23"/>
          <w:szCs w:val="23"/>
        </w:rPr>
        <w:t>security,</w:t>
      </w:r>
      <w:r w:rsidRPr="003F3629">
        <w:rPr>
          <w:sz w:val="23"/>
          <w:szCs w:val="23"/>
        </w:rPr>
        <w:t xml:space="preserve"> or well-being of one or more residents for a period greater than six hours must be reported within one business day. Below is a list of possible external disasters and the required type of action to be followed: </w:t>
      </w:r>
    </w:p>
    <w:p w14:paraId="0EE902C8" w14:textId="230BF084" w:rsidR="0044128C" w:rsidRPr="003F3629" w:rsidRDefault="00BA093C" w:rsidP="0044128C">
      <w:pPr>
        <w:pStyle w:val="ListParagraph"/>
        <w:numPr>
          <w:ilvl w:val="0"/>
          <w:numId w:val="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Natural Gas Leak</w:t>
      </w:r>
    </w:p>
    <w:p w14:paraId="0ADFBCFF" w14:textId="77777777" w:rsidR="0044128C" w:rsidRPr="003F3629" w:rsidRDefault="0044128C" w:rsidP="0044128C">
      <w:pPr>
        <w:pStyle w:val="ListParagraph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3F3629">
        <w:rPr>
          <w:sz w:val="22"/>
          <w:szCs w:val="22"/>
        </w:rPr>
        <w:t>Electrical Power Failure</w:t>
      </w:r>
    </w:p>
    <w:p w14:paraId="212F81ED" w14:textId="77777777" w:rsidR="0044128C" w:rsidRPr="003F3629" w:rsidRDefault="0044128C" w:rsidP="0044128C">
      <w:pPr>
        <w:pStyle w:val="ListParagraph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3F3629">
        <w:rPr>
          <w:sz w:val="22"/>
          <w:szCs w:val="22"/>
        </w:rPr>
        <w:t>External Air Exclusion – See Chemical Spill External Air Exclusion</w:t>
      </w:r>
    </w:p>
    <w:p w14:paraId="1D54A2D8" w14:textId="77777777" w:rsidR="0044128C" w:rsidRPr="003F3629" w:rsidRDefault="0044128C" w:rsidP="0044128C">
      <w:pPr>
        <w:pStyle w:val="ListParagraph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3F3629">
        <w:rPr>
          <w:sz w:val="22"/>
          <w:szCs w:val="22"/>
        </w:rPr>
        <w:t xml:space="preserve">Temporary Emergency Accommodation and Provisions </w:t>
      </w:r>
    </w:p>
    <w:p w14:paraId="52F7F66F" w14:textId="1981E95E" w:rsidR="0044128C" w:rsidRPr="003F3629" w:rsidRDefault="0044128C" w:rsidP="00BA093C">
      <w:pPr>
        <w:pStyle w:val="ListParagraph"/>
        <w:spacing w:line="240" w:lineRule="auto"/>
        <w:rPr>
          <w:sz w:val="22"/>
          <w:szCs w:val="22"/>
        </w:rPr>
      </w:pPr>
    </w:p>
    <w:p w14:paraId="0DB5E27C" w14:textId="77777777" w:rsidR="0044128C" w:rsidRPr="003F3629" w:rsidRDefault="0044128C" w:rsidP="0044128C">
      <w:pPr>
        <w:rPr>
          <w:sz w:val="22"/>
          <w:szCs w:val="22"/>
        </w:rPr>
      </w:pPr>
    </w:p>
    <w:p w14:paraId="15BE6094" w14:textId="77777777" w:rsidR="0044128C" w:rsidRPr="003F3629" w:rsidRDefault="0044128C" w:rsidP="0044128C">
      <w:pPr>
        <w:rPr>
          <w:sz w:val="22"/>
          <w:szCs w:val="22"/>
        </w:rPr>
      </w:pPr>
      <w:r w:rsidRPr="003F3629">
        <w:rPr>
          <w:sz w:val="22"/>
          <w:szCs w:val="22"/>
        </w:rPr>
        <w:t>Code ORANGE will be implemented based upon the Administrator’s assessment of the event based upon the following criteria:</w:t>
      </w:r>
    </w:p>
    <w:p w14:paraId="438BC3B7" w14:textId="77777777" w:rsidR="0044128C" w:rsidRPr="003F3629" w:rsidRDefault="0044128C" w:rsidP="0044128C">
      <w:pPr>
        <w:pStyle w:val="ListParagraph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3F3629">
        <w:rPr>
          <w:sz w:val="22"/>
          <w:szCs w:val="22"/>
        </w:rPr>
        <w:t>Weather – Flood, tornado, ice storm, including power outage due to weather; refer to existing policies and procedures related to flood, etc.</w:t>
      </w:r>
    </w:p>
    <w:p w14:paraId="63E014ED" w14:textId="77777777" w:rsidR="0044128C" w:rsidRPr="003F3629" w:rsidRDefault="0044128C" w:rsidP="0044128C">
      <w:pPr>
        <w:pStyle w:val="ListParagraph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3F3629">
        <w:rPr>
          <w:sz w:val="22"/>
          <w:szCs w:val="22"/>
        </w:rPr>
        <w:t>Train derailment – including chemical spill.  Refer to chemical spill policy</w:t>
      </w:r>
    </w:p>
    <w:p w14:paraId="268FB2F3" w14:textId="77777777" w:rsidR="0044128C" w:rsidRPr="003F3629" w:rsidRDefault="0044128C" w:rsidP="0044128C">
      <w:pPr>
        <w:pStyle w:val="ListParagraph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3F3629">
        <w:rPr>
          <w:sz w:val="22"/>
          <w:szCs w:val="22"/>
        </w:rPr>
        <w:t>Multi vehicle crash – within the community or nearby highway, including chemical spill</w:t>
      </w:r>
    </w:p>
    <w:p w14:paraId="71D0C880" w14:textId="77777777" w:rsidR="0044128C" w:rsidRPr="003F3629" w:rsidRDefault="0044128C" w:rsidP="0044128C">
      <w:pPr>
        <w:pStyle w:val="ListParagraph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3F3629">
        <w:rPr>
          <w:sz w:val="22"/>
          <w:szCs w:val="22"/>
        </w:rPr>
        <w:t>Nuclear power plant – leak</w:t>
      </w:r>
    </w:p>
    <w:p w14:paraId="71A8C77D" w14:textId="77777777" w:rsidR="0044128C" w:rsidRPr="003F3629" w:rsidRDefault="0044128C" w:rsidP="0044128C">
      <w:pPr>
        <w:pStyle w:val="ListParagraph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3F3629">
        <w:rPr>
          <w:sz w:val="22"/>
          <w:szCs w:val="22"/>
        </w:rPr>
        <w:t>Pandemic – Community Outbreak. Refer to Pandemic policy</w:t>
      </w:r>
    </w:p>
    <w:p w14:paraId="72FA0350" w14:textId="6B92ED7A" w:rsidR="00C16DA3" w:rsidRPr="003F3629" w:rsidRDefault="0044128C" w:rsidP="0044128C">
      <w:pPr>
        <w:pStyle w:val="ListParagraph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3F3629">
        <w:rPr>
          <w:sz w:val="22"/>
          <w:szCs w:val="22"/>
        </w:rPr>
        <w:t xml:space="preserve">Capacity Increase – housing members of the community </w:t>
      </w:r>
      <w:r w:rsidR="001431FA">
        <w:rPr>
          <w:sz w:val="22"/>
          <w:szCs w:val="22"/>
        </w:rPr>
        <w:t xml:space="preserve">during </w:t>
      </w:r>
      <w:r w:rsidRPr="003F3629">
        <w:rPr>
          <w:sz w:val="22"/>
          <w:szCs w:val="22"/>
        </w:rPr>
        <w:t>a community disaster.</w:t>
      </w:r>
    </w:p>
    <w:p w14:paraId="7C5E0C78" w14:textId="77777777" w:rsidR="003F3629" w:rsidRPr="003F3629" w:rsidRDefault="003F3629" w:rsidP="003F3629">
      <w:pPr>
        <w:rPr>
          <w:sz w:val="22"/>
          <w:szCs w:val="22"/>
          <w:u w:val="single"/>
        </w:rPr>
      </w:pPr>
    </w:p>
    <w:p w14:paraId="3F1153E6" w14:textId="77777777" w:rsidR="003F3629" w:rsidRPr="003F3629" w:rsidRDefault="003F3629" w:rsidP="003F3629">
      <w:pPr>
        <w:rPr>
          <w:sz w:val="22"/>
          <w:szCs w:val="22"/>
          <w:u w:val="single"/>
        </w:rPr>
      </w:pPr>
      <w:r w:rsidRPr="003F3629">
        <w:rPr>
          <w:sz w:val="22"/>
          <w:szCs w:val="22"/>
          <w:u w:val="single"/>
        </w:rPr>
        <w:t>REFERENCES</w:t>
      </w:r>
    </w:p>
    <w:p w14:paraId="16CC8595" w14:textId="2958B6A9" w:rsidR="003F3629" w:rsidRPr="003F3629" w:rsidRDefault="00BA093C" w:rsidP="003F3629">
      <w:pPr>
        <w:rPr>
          <w:sz w:val="22"/>
          <w:szCs w:val="22"/>
          <w:shd w:val="clear" w:color="auto" w:fill="FFFFFF"/>
        </w:rPr>
      </w:pPr>
      <w:bookmarkStart w:id="0" w:name="_Hlk490042736"/>
      <w:bookmarkStart w:id="1" w:name="_Hlk490041038"/>
      <w:r>
        <w:rPr>
          <w:sz w:val="22"/>
          <w:szCs w:val="22"/>
          <w:shd w:val="clear" w:color="auto" w:fill="FFFFFF"/>
        </w:rPr>
        <w:t xml:space="preserve">Fixing </w:t>
      </w:r>
      <w:r w:rsidR="003F3629" w:rsidRPr="003F3629">
        <w:rPr>
          <w:sz w:val="22"/>
          <w:szCs w:val="22"/>
          <w:shd w:val="clear" w:color="auto" w:fill="FFFFFF"/>
        </w:rPr>
        <w:t>Long-Term Care Act, 20</w:t>
      </w:r>
      <w:r>
        <w:rPr>
          <w:sz w:val="22"/>
          <w:szCs w:val="22"/>
          <w:shd w:val="clear" w:color="auto" w:fill="FFFFFF"/>
        </w:rPr>
        <w:t>21</w:t>
      </w:r>
      <w:bookmarkEnd w:id="0"/>
    </w:p>
    <w:p w14:paraId="3F2D759A" w14:textId="77777777" w:rsidR="003F3629" w:rsidRPr="003F3629" w:rsidRDefault="003F3629" w:rsidP="003F3629">
      <w:pPr>
        <w:rPr>
          <w:sz w:val="22"/>
          <w:szCs w:val="23"/>
        </w:rPr>
      </w:pPr>
      <w:bookmarkStart w:id="2" w:name="_Hlk490042478"/>
      <w:bookmarkEnd w:id="1"/>
      <w:r w:rsidRPr="003F3629">
        <w:rPr>
          <w:sz w:val="22"/>
          <w:szCs w:val="23"/>
          <w:lang w:val="en-CA"/>
        </w:rPr>
        <w:t>Retirement Homes Act, 2010; Ontario Regulation 166/11 General</w:t>
      </w:r>
      <w:bookmarkEnd w:id="2"/>
    </w:p>
    <w:sectPr w:rsidR="003F3629" w:rsidRPr="003F3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2F93"/>
    <w:multiLevelType w:val="hybridMultilevel"/>
    <w:tmpl w:val="8828D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F4124"/>
    <w:multiLevelType w:val="hybridMultilevel"/>
    <w:tmpl w:val="6DEC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474974">
    <w:abstractNumId w:val="0"/>
  </w:num>
  <w:num w:numId="2" w16cid:durableId="670371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28C"/>
    <w:rsid w:val="00084BC7"/>
    <w:rsid w:val="001431FA"/>
    <w:rsid w:val="003F3629"/>
    <w:rsid w:val="0044128C"/>
    <w:rsid w:val="00492325"/>
    <w:rsid w:val="005D5BBB"/>
    <w:rsid w:val="00BA093C"/>
    <w:rsid w:val="00C16DA3"/>
    <w:rsid w:val="00F24FA0"/>
    <w:rsid w:val="00F7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5960A"/>
  <w15:chartTrackingRefBased/>
  <w15:docId w15:val="{3FF4C9A8-BF12-4C30-AFAB-2CAFA71E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2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8C"/>
    <w:pPr>
      <w:widowControl/>
      <w:autoSpaceDE/>
      <w:autoSpaceDN/>
      <w:spacing w:line="276" w:lineRule="auto"/>
      <w:ind w:left="720"/>
      <w:contextualSpacing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B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B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O'Halloran</dc:creator>
  <cp:keywords/>
  <dc:description/>
  <cp:lastModifiedBy>Kerianne Kelly</cp:lastModifiedBy>
  <cp:revision>7</cp:revision>
  <cp:lastPrinted>2023-08-03T21:40:00Z</cp:lastPrinted>
  <dcterms:created xsi:type="dcterms:W3CDTF">2017-08-02T18:44:00Z</dcterms:created>
  <dcterms:modified xsi:type="dcterms:W3CDTF">2023-08-03T21:40:00Z</dcterms:modified>
</cp:coreProperties>
</file>